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附件2</w:t>
      </w:r>
    </w:p>
    <w:p>
      <w:pPr>
        <w:pStyle w:val="2"/>
        <w:keepNext w:val="0"/>
        <w:keepLines w:val="0"/>
        <w:pageBreakBefore w:val="0"/>
        <w:widowControl w:val="0"/>
        <w:kinsoku/>
        <w:wordWrap/>
        <w:overflowPunct/>
        <w:topLinePunct w:val="0"/>
        <w:autoSpaceDN/>
        <w:bidi w:val="0"/>
        <w:adjustRightInd/>
        <w:snapToGrid/>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事业单位双重法人认证</w:t>
      </w:r>
      <w:r>
        <w:rPr>
          <w:rFonts w:hint="default" w:ascii="Times New Roman" w:hAnsi="Times New Roman" w:eastAsia="方正小标宋简体" w:cs="Times New Roman"/>
          <w:sz w:val="44"/>
          <w:szCs w:val="44"/>
          <w:lang w:val="en-US" w:eastAsia="zh-CN"/>
        </w:rPr>
        <w:t>问题整改</w:t>
      </w:r>
    </w:p>
    <w:p>
      <w:pPr>
        <w:pStyle w:val="2"/>
        <w:keepNext w:val="0"/>
        <w:keepLines w:val="0"/>
        <w:pageBreakBefore w:val="0"/>
        <w:widowControl w:val="0"/>
        <w:kinsoku/>
        <w:wordWrap/>
        <w:overflowPunct/>
        <w:topLinePunct w:val="0"/>
        <w:autoSpaceDN/>
        <w:bidi w:val="0"/>
        <w:adjustRightInd/>
        <w:snapToGrid/>
        <w:spacing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的完成情况</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整改问题</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8"/>
          <w:kern w:val="2"/>
          <w:sz w:val="32"/>
          <w:szCs w:val="32"/>
          <w:lang w:val="en-US" w:eastAsia="zh-CN" w:bidi="ar-SA"/>
        </w:rPr>
      </w:pPr>
      <w:r>
        <w:rPr>
          <w:rFonts w:hint="default" w:ascii="Times New Roman" w:hAnsi="Times New Roman" w:eastAsia="仿宋_GB2312" w:cs="Times New Roman"/>
          <w:spacing w:val="8"/>
          <w:kern w:val="2"/>
          <w:sz w:val="32"/>
          <w:szCs w:val="32"/>
          <w:lang w:val="en-US" w:eastAsia="zh-CN" w:bidi="ar-SA"/>
        </w:rPr>
        <w:t>事业单位双重法人认证问题。如区林旺北幼儿园，有民办非企业登记证书和事业单位法人证书两个不同的统一社会信用代码。</w:t>
      </w:r>
    </w:p>
    <w:p>
      <w:pPr>
        <w:pStyle w:val="2"/>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二、责任单位</w:t>
      </w:r>
    </w:p>
    <w:p>
      <w:pPr>
        <w:pStyle w:val="2"/>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pacing w:val="8"/>
          <w:kern w:val="2"/>
          <w:sz w:val="32"/>
          <w:szCs w:val="32"/>
          <w:lang w:val="en-US" w:eastAsia="zh-CN" w:bidi="ar-SA"/>
        </w:rPr>
        <w:t>海棠区委机构编制委员会办公室</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Style w:val="6"/>
          <w:rFonts w:hint="eastAsia" w:ascii="黑体" w:hAnsi="黑体" w:eastAsia="黑体" w:cs="黑体"/>
          <w:sz w:val="32"/>
          <w:szCs w:val="32"/>
          <w:lang w:val="en-US" w:eastAsia="zh-CN"/>
        </w:rPr>
        <w:t>三、</w:t>
      </w:r>
      <w:r>
        <w:rPr>
          <w:rFonts w:hint="default" w:ascii="Times New Roman" w:hAnsi="Times New Roman" w:eastAsia="黑体" w:cs="Times New Roman"/>
          <w:sz w:val="32"/>
          <w:szCs w:val="32"/>
          <w:lang w:val="en-US" w:eastAsia="zh-CN"/>
        </w:rPr>
        <w:t>整改措施</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10月，核查我区其他事业单位是否有违反事业单位登记管理条例的情况，及时发现，及时处理</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2.11月，对事业单位三亚市海棠区林旺北幼儿园进行更名</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仿宋_GB2312" w:cs="Times New Roman"/>
          <w:sz w:val="32"/>
          <w:szCs w:val="32"/>
          <w:lang w:val="en-US" w:eastAsia="zh-CN"/>
        </w:rPr>
        <w:t>3.12月，结合我区实际制定常态化有效机制，制定自查抽查方案，并长期执行。</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整改目标</w:t>
      </w:r>
    </w:p>
    <w:p>
      <w:pPr>
        <w:pStyle w:val="2"/>
        <w:keepNext w:val="0"/>
        <w:keepLines w:val="0"/>
        <w:pageBreakBefore w:val="0"/>
        <w:widowControl w:val="0"/>
        <w:numPr>
          <w:ilvl w:val="0"/>
          <w:numId w:val="0"/>
        </w:numPr>
        <w:kinsoku/>
        <w:wordWrap/>
        <w:overflowPunct/>
        <w:topLinePunct w:val="0"/>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pacing w:val="0"/>
          <w:kern w:val="2"/>
          <w:sz w:val="32"/>
          <w:szCs w:val="32"/>
          <w:lang w:val="en-US" w:eastAsia="zh-CN" w:bidi="ar-SA"/>
        </w:rPr>
        <w:t>确</w:t>
      </w:r>
      <w:r>
        <w:rPr>
          <w:rFonts w:hint="default" w:ascii="Times New Roman" w:hAnsi="Times New Roman" w:eastAsia="仿宋_GB2312" w:cs="Times New Roman"/>
          <w:spacing w:val="0"/>
          <w:kern w:val="2"/>
          <w:sz w:val="32"/>
          <w:szCs w:val="32"/>
          <w:lang w:val="en-US" w:eastAsia="zh-CN" w:bidi="ar-SA"/>
        </w:rPr>
        <w:t>保我区事业单位不出现“双重法人”现象，无违反事业</w:t>
      </w:r>
      <w:r>
        <w:rPr>
          <w:rFonts w:hint="eastAsia" w:ascii="Times New Roman" w:hAnsi="Times New Roman" w:eastAsia="仿宋_GB2312" w:cs="Times New Roman"/>
          <w:spacing w:val="0"/>
          <w:kern w:val="2"/>
          <w:sz w:val="32"/>
          <w:szCs w:val="32"/>
          <w:lang w:val="en-US" w:eastAsia="zh-CN" w:bidi="ar-SA"/>
        </w:rPr>
        <w:t>单位</w:t>
      </w:r>
      <w:bookmarkStart w:id="0" w:name="_GoBack"/>
      <w:bookmarkEnd w:id="0"/>
      <w:r>
        <w:rPr>
          <w:rFonts w:hint="default" w:ascii="Times New Roman" w:hAnsi="Times New Roman" w:eastAsia="仿宋_GB2312" w:cs="Times New Roman"/>
          <w:spacing w:val="0"/>
          <w:kern w:val="2"/>
          <w:sz w:val="32"/>
          <w:szCs w:val="32"/>
          <w:lang w:val="en-US" w:eastAsia="zh-CN" w:bidi="ar-SA"/>
        </w:rPr>
        <w:t>登记管理规定的情形，推动形成健康规范的事业单位登记管理机制，助力优质营商环境的可持续发展。</w:t>
      </w:r>
    </w:p>
    <w:p>
      <w:pPr>
        <w:pStyle w:val="2"/>
        <w:keepNext w:val="0"/>
        <w:keepLines w:val="0"/>
        <w:pageBreakBefore w:val="0"/>
        <w:widowControl w:val="0"/>
        <w:numPr>
          <w:ilvl w:val="0"/>
          <w:numId w:val="0"/>
        </w:numPr>
        <w:kinsoku/>
        <w:wordWrap/>
        <w:overflowPunct/>
        <w:topLinePunct w:val="0"/>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整改成效</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扎实完成区事业单位“双重法人”清理规范工作，通过全面排查、清理规范、巩固成效的三项具体措施，分步骤对我区事业单位“双重法人”存在情形开展全面排查，对存在该违法情形的林旺北幼儿园及时进行清理规范，顺利完成林旺北幼儿园更名手续的办理。并通过出台《海棠区定期开展事业单位“双重法人”清理工作的实施方案》，进一步规范事业单位登记和管理，为事业单位更好履职尽责提供有力保障。截至11月底，有效完成了全区事业单位“双重法人”整改整治目标，确保一个事业单位只有一个法人主体资格，进一步推动形成公平竞争的市场秩序，更好助推海棠营商环境高质量发展。</w:t>
      </w:r>
    </w:p>
    <w:p>
      <w:pPr/>
    </w:p>
    <w:sectPr>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Courier New">
    <w:panose1 w:val="02070309020205020404"/>
    <w:charset w:val="00"/>
    <w:family w:val="decorative"/>
    <w:pitch w:val="default"/>
    <w:sig w:usb0="E0002AFF" w:usb1="C0007843" w:usb2="00000009" w:usb3="00000000" w:csb0="400001FF" w:csb1="FFFF0000"/>
  </w:font>
  <w:font w:name="东文宋体">
    <w:altName w:val="宋体"/>
    <w:panose1 w:val="00000000000000000000"/>
    <w:charset w:val="00"/>
    <w:family w:val="auto"/>
    <w:pitch w:val="default"/>
    <w:sig w:usb0="00000000" w:usb1="00000000" w:usb2="00000000" w:usb3="00000000" w:csb0="00040001" w:csb1="00000000"/>
  </w:font>
  <w:font w:name="汉仪大宋简">
    <w:altName w:val="宋体"/>
    <w:panose1 w:val="02010600000101010101"/>
    <w:charset w:val="86"/>
    <w:family w:val="auto"/>
    <w:pitch w:val="default"/>
    <w:sig w:usb0="00000000" w:usb1="00000000" w:usb2="00000002" w:usb3="00000000" w:csb0="0004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2116F"/>
    <w:rsid w:val="552C0C2C"/>
    <w:rsid w:val="563A4A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link w:val="6"/>
    <w:qFormat/>
    <w:uiPriority w:val="0"/>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uiPriority w:val="0"/>
    <w:pPr>
      <w:autoSpaceDE w:val="0"/>
      <w:spacing w:line="500" w:lineRule="exact"/>
      <w:ind w:firstLine="630"/>
    </w:pPr>
    <w:rPr>
      <w:rFonts w:ascii="仿宋_GB2312"/>
      <w:spacing w:val="-6"/>
    </w:rPr>
  </w:style>
  <w:style w:type="character" w:customStyle="1" w:styleId="6">
    <w:name w:val="正文首行缩进 2 Char"/>
    <w:link w:val="2"/>
    <w:qFormat/>
    <w:uiPriority w:val="99"/>
    <w:rPr>
      <w:rFonts w:ascii="方正仿宋_GBK" w:hAnsi="Calibri" w:cs="Times New Roman"/>
      <w:spacing w:val="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2023-12-27T11:40:43Z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