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2024年度入库项目资金未达到目标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要求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问题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整改的完成情况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整改问题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pacing w:val="8"/>
          <w:sz w:val="32"/>
          <w:szCs w:val="32"/>
        </w:rPr>
      </w:pPr>
      <w:r>
        <w:rPr>
          <w:rFonts w:hint="default" w:ascii="Times New Roman" w:hAnsi="Times New Roman" w:eastAsia="仿宋_GB2312"/>
          <w:spacing w:val="8"/>
          <w:sz w:val="32"/>
          <w:szCs w:val="32"/>
        </w:rPr>
        <w:t>2023年，我区衔接资金规模为1078万元，按文件要求，2024年度衔接资金项目入库资金规模约为1300万元。由于各行业部门和村委</w:t>
      </w:r>
      <w:r>
        <w:rPr>
          <w:rFonts w:hint="eastAsia" w:ascii="Times New Roman" w:hAnsi="Times New Roman" w:eastAsia="仿宋_GB2312"/>
          <w:spacing w:val="8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/>
          <w:spacing w:val="8"/>
          <w:sz w:val="32"/>
          <w:szCs w:val="32"/>
        </w:rPr>
        <w:t>未积极申报项目入库和业务不熟练等原因，我区2024年度入库项目资金为0万元，未达到目标规模。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责任单位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区乡村振兴局、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海棠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区农业农村局、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海棠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海棠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区水务局、各村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三、整改措施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11月中旬开展项目入库动员部署业务指导会，提高各部门业务水平。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</w:rPr>
        <w:t>12月底督促区农业农村局谋划资金规模1200万元内的产业项目。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</w:rPr>
        <w:t>12月底前督促区住建局、区水务局、各村委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default" w:ascii="仿宋_GB2312" w:hAnsi="仿宋_GB2312" w:eastAsia="仿宋_GB2312" w:cs="仿宋_GB2312"/>
          <w:sz w:val="32"/>
          <w:szCs w:val="32"/>
        </w:rPr>
        <w:t>谋划资金规模在300万元内的基础设施项目或其它项目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四、整改目标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2023年12月底实现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全区衔接资金项目入库规模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达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130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整改成效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通过开展会议部署、文件督导和下村指导，进一步提高各单位和村委会对项目入库重视力度，强化责任当担，积极谋划申报2024年度巩固拓展脱贫攻坚成果和乡村振兴项目库，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共确定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海棠区农产品集采仓储分拣包装设施项目、海棠区湾坡鸭产地加工冷藏仓储项目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棠鳄鳄鱼养殖基地产业道路项目纳入海棠区2024年衔接资金项目库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，总资金规模为1418.18万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元，完成2023年12月底实现2024年全区衔接资金项目入库规模达1300万元的任务目标，有效杜绝钱等项目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的发生。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46254"/>
    <w:rsid w:val="5D8A2BCE"/>
    <w:rsid w:val="5E8F2A10"/>
    <w:rsid w:val="648B1A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620" w:lineRule="exact"/>
      <w:ind w:left="420" w:leftChars="200" w:firstLine="420" w:firstLineChars="200"/>
    </w:pPr>
    <w:rPr>
      <w:rFonts w:ascii="方正仿宋_GBK" w:hAnsi="Calibri" w:cs="Times New Roman"/>
      <w:spacing w:val="8"/>
    </w:rPr>
  </w:style>
  <w:style w:type="paragraph" w:styleId="3">
    <w:name w:val="Body Text Indent"/>
    <w:basedOn w:val="1"/>
    <w:next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2023-12-27T12:43:55Z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